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customUI/customUI.xml" Type="http://schemas.microsoft.com/office/2006/relationships/ui/extensibility" Id="cuID"/><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56708e8" w14:textId="56708e8">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521761">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521761" w:rsidR="00170492">
            <w:rPr>
              <w:rStyle w:val="eSPISCCParagraphDefaultFont"/>
              <w:rFonts w:eastAsiaTheme="minorHAnsi"/>
            </w:rPr>
            <w:t>REPUBLIKA HRVATSKA</w:t>
          </w:r>
        </w:sdtContent>
      </w:sdt>
    </w:p>
    <w:p w:rsidRPr="00AD32DA" w:rsidR="00AE649C" w:rsidP="00E67D40" w:rsidRDefault="00521761">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521761" w:rsidR="00F300EC">
            <w:rPr>
              <w:rStyle w:val="eSPISCCParagraphDefaultFont"/>
              <w:rFonts w:eastAsiaTheme="minorHAnsi"/>
            </w:rPr>
            <w:t>Visoki trgovački sud Republike Hrvatske</w:t>
          </w:r>
        </w:sdtContent>
      </w:sdt>
    </w:p>
    <w:p w:rsidR="00170492" w:rsidP="005E2148" w:rsidRDefault="00521761">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21761" w:rsidR="00F300EC">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21761" w:rsidR="00F300EC">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521761" w:rsidR="00F300EC">
            <w:rPr>
              <w:rStyle w:val="eSPISCCParagraphDefaultFont"/>
            </w:rPr>
            <w:t>37</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521761" w:rsidR="00F300EC">
            <w:rPr>
              <w:rStyle w:val="eSPISCCParagraphDefaultFont"/>
            </w:rPr>
            <w:t>Pž-3823/2021-3</w:t>
          </w:r>
        </w:sdtContent>
      </w:sdt>
    </w:p>
    <w:p w:rsidR="004C60ED" w:rsidP="00F300EC" w:rsidRDefault="004C60ED">
      <w:pPr>
        <w:pStyle w:val="Bezproreda"/>
        <w:jc w:val="both"/>
        <w:rPr>
          <w:rFonts w:ascii="Arial" w:hAnsi="Arial" w:cs="Arial"/>
        </w:rPr>
      </w:pPr>
    </w:p>
    <w:p w:rsidR="00F300EC" w:rsidP="00F300EC" w:rsidRDefault="00F300EC">
      <w:pPr>
        <w:pStyle w:val="Bezproreda"/>
        <w:jc w:val="both"/>
        <w:rPr>
          <w:rFonts w:ascii="Arial" w:hAnsi="Arial" w:cs="Arial"/>
        </w:rPr>
      </w:pPr>
    </w:p>
    <w:p w:rsidR="00F300EC" w:rsidP="00F300EC" w:rsidRDefault="00F300EC">
      <w:pPr>
        <w:pStyle w:val="Bezproreda"/>
        <w:jc w:val="both"/>
        <w:rPr>
          <w:rFonts w:ascii="Arial" w:hAnsi="Arial" w:cs="Arial"/>
        </w:rPr>
      </w:pPr>
    </w:p>
    <w:p w:rsidRPr="00F300EC" w:rsidR="00F300EC" w:rsidP="00F300EC" w:rsidRDefault="00F300EC">
      <w:pPr>
        <w:pStyle w:val="Bezproreda"/>
        <w:jc w:val="right"/>
        <w:rPr>
          <w:rFonts w:ascii="Arial" w:hAnsi="Arial" w:cs="Arial"/>
        </w:rPr>
      </w:pPr>
      <w:r w:rsidRPr="00F300EC">
        <w:rPr>
          <w:rFonts w:ascii="Arial" w:hAnsi="Arial" w:cs="Arial"/>
        </w:rPr>
        <w:t xml:space="preserve">Europski sud </w:t>
      </w:r>
    </w:p>
    <w:p w:rsidRPr="00F300EC" w:rsidR="00F300EC" w:rsidP="00F300EC" w:rsidRDefault="00F300EC">
      <w:pPr>
        <w:pStyle w:val="Bezproreda"/>
        <w:jc w:val="right"/>
        <w:rPr>
          <w:rFonts w:ascii="Arial" w:hAnsi="Arial" w:cs="Arial"/>
        </w:rPr>
      </w:pPr>
      <w:r w:rsidRPr="00F300EC">
        <w:rPr>
          <w:rFonts w:ascii="Arial" w:hAnsi="Arial" w:cs="Arial"/>
        </w:rPr>
        <w:t xml:space="preserve">Tajništvo Suda, </w:t>
      </w:r>
    </w:p>
    <w:p w:rsidRPr="00F300EC" w:rsidR="00F300EC" w:rsidP="00F300EC" w:rsidRDefault="00F300EC">
      <w:pPr>
        <w:pStyle w:val="Bezproreda"/>
        <w:jc w:val="right"/>
        <w:rPr>
          <w:rFonts w:ascii="Arial" w:hAnsi="Arial" w:cs="Arial"/>
        </w:rPr>
      </w:pPr>
      <w:r w:rsidRPr="00F300EC">
        <w:rPr>
          <w:rFonts w:ascii="Arial" w:hAnsi="Arial" w:cs="Arial"/>
        </w:rPr>
        <w:t xml:space="preserve">rue du Fort Niedergrünewald, </w:t>
      </w:r>
    </w:p>
    <w:p w:rsidRPr="00F300EC" w:rsidR="00F300EC" w:rsidP="00F300EC" w:rsidRDefault="00F300EC">
      <w:pPr>
        <w:pStyle w:val="Bezproreda"/>
        <w:jc w:val="right"/>
        <w:rPr>
          <w:rFonts w:ascii="Arial" w:hAnsi="Arial" w:cs="Arial"/>
        </w:rPr>
      </w:pPr>
      <w:r w:rsidRPr="00F300EC">
        <w:rPr>
          <w:rFonts w:ascii="Arial" w:hAnsi="Arial" w:cs="Arial"/>
        </w:rPr>
        <w:t>L-2925 Luxembourg</w:t>
      </w:r>
    </w:p>
    <w:p w:rsidRPr="00F300EC" w:rsidR="00F300EC" w:rsidP="00F300EC" w:rsidRDefault="00F300EC">
      <w:pPr>
        <w:pStyle w:val="Bezproreda"/>
        <w:jc w:val="right"/>
        <w:rPr>
          <w:rFonts w:ascii="Arial" w:hAnsi="Arial" w:cs="Arial"/>
        </w:rPr>
      </w:pPr>
      <w:r w:rsidRPr="00F300EC">
        <w:rPr>
          <w:rFonts w:ascii="Arial" w:hAnsi="Arial" w:cs="Arial"/>
        </w:rPr>
        <w:t>e-mail: DDP-GreffeCour@curia.europa.eu</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jc w:val="both"/>
        <w:rPr>
          <w:rFonts w:ascii="Arial" w:hAnsi="Arial" w:cs="Arial"/>
        </w:rPr>
      </w:pPr>
      <w:r w:rsidRPr="00F300EC">
        <w:rPr>
          <w:rFonts w:ascii="Arial" w:hAnsi="Arial" w:cs="Arial"/>
        </w:rPr>
        <w:t>Predmet: Zahtjev za prethodnu odluku - Pravosudna suradnja u građanskim stvarima</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jc w:val="both"/>
        <w:rPr>
          <w:rFonts w:ascii="Arial" w:hAnsi="Arial" w:cs="Arial"/>
        </w:rPr>
      </w:pPr>
      <w:r w:rsidRPr="00F300EC">
        <w:rPr>
          <w:rFonts w:ascii="Arial" w:hAnsi="Arial" w:cs="Arial"/>
        </w:rPr>
        <w:t xml:space="preserve">Sud koji upućuje zahtjev: </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 xml:space="preserve">Visoki trgovački sud Republike Hrvatske, u predmetu koji se vodi pod brojem: Pž-3823/2021, u vijeću sastavljenom od sudaca Branke Šabarić Zovko, predsjednice vijeća, doc. dr. sc. Jelene Čuveljak, sutkinje izvjestiteljice i Nevenke Baran, članice vijeća. </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Stranke glavnog postupka i njihovi zastupnici:</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Stečajni postupak nad dužnikom MINERAL-SEKULINE d.o.o., Zagreb, Ruščenica 37, OIB 09378976276</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 xml:space="preserve">Žalba FINANCIJSKA AGENCIJA, Zagreb, Ulica grada Vukovara 70, OIB 85821130368, </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Sažeti prikaz predmeta spora u glavnom postupku i relevantne činjenice, sadržaj nacionalnih odredaba koje se mogu primijeniti i prikaz razloga koji su naveli ovaj sud da se zapita o tumačenju odredaba prava Unije:</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jc w:val="both"/>
        <w:rPr>
          <w:rFonts w:ascii="Arial" w:hAnsi="Arial" w:cs="Arial"/>
        </w:rPr>
      </w:pPr>
      <w:r w:rsidRPr="00F300EC">
        <w:rPr>
          <w:rFonts w:ascii="Arial" w:hAnsi="Arial" w:cs="Arial"/>
        </w:rPr>
        <w:tab/>
        <w:t xml:space="preserve">U ovoj pravnoj stvari rješenjem Trgovačkog suda u Zagrebu poslovni </w:t>
      </w:r>
      <w:r>
        <w:rPr>
          <w:rFonts w:ascii="Arial" w:hAnsi="Arial" w:cs="Arial"/>
        </w:rPr>
        <w:br/>
      </w:r>
      <w:r w:rsidRPr="00F300EC">
        <w:rPr>
          <w:rFonts w:ascii="Arial" w:hAnsi="Arial" w:cs="Arial"/>
        </w:rPr>
        <w:t>St-5263/2016-36 od 12. srpnja 2021. je odbijen zahtjev Financijske agencije za naknadu troška za obavljanje poslova u stečajnom postupku. Protiv navedenog rješenja je Financijska agencija izjavila žalbu pa je predmet dostavljen nadležnom Visokom trgovačkom sudu Republike Hrvatske radi donošenja odluke u postupku pravnog lijeka. Predmet je zaprimljen pri Visokom trgovačkom sudu Republike Hrvatske dana 29. srpnja 2021.</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 xml:space="preserve">Na sjednici sudskog vijeća tri suca održanog 3. kolovoza 2021. je donesena odluka da se žalba odbija i potvrđena je prvostupanjska presuda, a prilikom donošenja odluke je vijeće imalo u vidu činjenicu da je u ovoj pravnoj stvari prijedlog za pokretanje stečajnog postupka podnesen 8. srpnja 2016. temeljem Zakona o financijskom poslovanju i predstečajnoj nagodbi („Narodne novine“ broj: 108/12, </w:t>
      </w:r>
      <w:r w:rsidRPr="00F300EC">
        <w:rPr>
          <w:rFonts w:ascii="Arial" w:hAnsi="Arial" w:cs="Arial"/>
        </w:rPr>
        <w:lastRenderedPageBreak/>
        <w:t>144/12, 81/13 i 112/13; dalje: ZFPPN). Ranijim Stečajnim zakonom („Narodne novine“ broj: 44/96, 29/99, 129/00, 123/03, 82/06, 116/10, 25/12, 133/12 i 45/13) nije bilo propisano da bi Financijska agencija bila ovlaštena za podnošenje prijedloga za otvaranje stečajnog postupka a kako je to propisano čl. 110. novog SZ-a. Odredbom čl. 110. st. 5. SZ-a propisano je da Financijska agencija za podnošenje prijedloga za otvaranje stečajnoga postupka iz stavka 1. ovoga članka ima pravo na naknadu troška. Visina naknade troška Financijske agencije za podnošenje prijedloga za otvaranje stečajnoga postupka, određena je čl. 3. st. 1. Pravilnika o vrsti i visini naknade troškova Financijske agencije u predstečajnom postupku i visini naknade troška Financijske agencije za podnošenje prijedloga za otvaranje stečajnog postupka („Narodne novine“ broj 106/15</w:t>
      </w:r>
      <w:r>
        <w:rPr>
          <w:rFonts w:ascii="Arial" w:hAnsi="Arial" w:cs="Arial"/>
        </w:rPr>
        <w:t>;</w:t>
      </w:r>
      <w:r w:rsidRPr="00F300EC">
        <w:rPr>
          <w:rFonts w:ascii="Arial" w:hAnsi="Arial" w:cs="Arial"/>
        </w:rPr>
        <w:t xml:space="preserve"> dalje Pravilnik) te iznosi 140,00 kn uvećano za porez na dodanu vrijednost pa, dakle, sveukupno iznosi 175,00 kn. Kako niti jednom odredbom nije propisano da bi Financijska agencija, a koja je prijedlog podnijela sukladno odredbi čl. 27. st. 4. ZFPPN-a, a ne sukladno odredbi čl. 110. SZ imala pravo na naknadu troškova za podnošenje prijedloga za otvaranje stečajnog postupka u iznosu od 175,00 kn, to je potvrđena odluka kojom je odbijen zahtjev.</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Predmetnu odluku je sudsko vijeće sastavljeno od tri suca donijelo jednoglasno. Sukladno donesenoj odluci, napisan je pisani otpravak, odluka je potpisana i dostavljena je sukladno čl. 117. st. 3. Sudskog poslovnika, („Narodne novine“ broj: 37/14, 49/14, 8/15, 35/15, 123/15, 45/16, 29/17, 33/17, 34/17, 57/17, 101/18, 119/18, 81/19, 128/19, 39/20 i 47/20; dalje: Sudski poslovnik) u službu evidencije sudske prakse. Taj članak propisuje između ostalog: „Kod drugostupanjskog suda predmet se smatra dovršenim u trenutku otpravka odluke iz referade suca nakon što je predmet vraćen iz službe evidencije. Služba evidencije dužna je u što kraćem roku od dana prijama spisa isti vratiti u referadu suca. Sudska pisarnica će u daljnjem roku od 8 dana otpremiti odluku sa suda.“</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Iz same odredbe čl. 117. st. 3. Sudskog poslovnika proizlazi da ne postoji mogućnost da sudac evidencije ne „evidentira“ spis, ali to nije tako, jer se bez toga ne može otpremiti odluka strankama. Dakle, sudac evidencije ponovo preispituje donesenu odluku na sudu drugog stupnja te je može prihvatiti ili ju vratiti na ponovno odlučivanje (uz pisane primjedbe ili usmene). Stranke u sudskom postupku nemaju informacija o tome da je odluka bila donesena ali da ju je sudac evidencije vratio na ponovno odlučivanje a i ime suca evidentičara se ne navodi u otpravku odluke strankama.</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jc w:val="both"/>
        <w:rPr>
          <w:rFonts w:ascii="Arial" w:hAnsi="Arial" w:cs="Arial"/>
        </w:rPr>
      </w:pPr>
      <w:r w:rsidRPr="00F300EC">
        <w:rPr>
          <w:rFonts w:ascii="Arial" w:hAnsi="Arial" w:cs="Arial"/>
        </w:rPr>
        <w:tab/>
        <w:t>Odluka je dostavljena u službu evidencije dana 3. kolovoza 2021. a uz pisanu primjedbu je vraćen dana 20. rujna 2021. U pisanoj napomeni, evidencija sudske prakse je vratila odluku u predmetu</w:t>
      </w:r>
      <w:r>
        <w:rPr>
          <w:rFonts w:ascii="Arial" w:hAnsi="Arial" w:cs="Arial"/>
        </w:rPr>
        <w:t xml:space="preserve"> </w:t>
      </w:r>
      <w:r w:rsidRPr="00F300EC">
        <w:rPr>
          <w:rFonts w:ascii="Arial" w:hAnsi="Arial" w:cs="Arial"/>
        </w:rPr>
        <w:t xml:space="preserve">Pž-3823/21 bez evidentiranja uz pisanu napomenu od 15. rujna 2021. (predmetni dopis se dostavlja u privitku): </w:t>
      </w:r>
    </w:p>
    <w:p w:rsidRPr="00F300EC" w:rsidR="00F300EC" w:rsidP="00F300EC" w:rsidRDefault="00F300EC">
      <w:pPr>
        <w:pStyle w:val="Bezproreda"/>
        <w:jc w:val="both"/>
        <w:rPr>
          <w:rFonts w:ascii="Arial" w:hAnsi="Arial" w:cs="Arial"/>
        </w:rPr>
      </w:pPr>
      <w:r w:rsidRPr="00F300EC">
        <w:rPr>
          <w:rFonts w:ascii="Arial" w:hAnsi="Arial" w:cs="Arial"/>
        </w:rPr>
        <w:t>„… ovaj sud je u odlukama poslovni broj Pž-3780/2021 i Pž-4023/2021 u kojima je sud uvažio žalbu FINA-e i preinačio prvostupanjsku odluku.</w:t>
      </w:r>
    </w:p>
    <w:p w:rsidRPr="00F300EC" w:rsidR="00F300EC" w:rsidP="00F300EC" w:rsidRDefault="00F300EC">
      <w:pPr>
        <w:pStyle w:val="Bezproreda"/>
        <w:jc w:val="both"/>
        <w:rPr>
          <w:rFonts w:ascii="Arial" w:hAnsi="Arial" w:cs="Arial"/>
        </w:rPr>
      </w:pPr>
      <w:r w:rsidRPr="00F300EC">
        <w:rPr>
          <w:rFonts w:ascii="Arial" w:hAnsi="Arial" w:cs="Arial"/>
        </w:rPr>
        <w:t>Stoga se predmet vraća vijeću.“</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jc w:val="both"/>
        <w:rPr>
          <w:rFonts w:ascii="Arial" w:hAnsi="Arial" w:cs="Arial"/>
        </w:rPr>
      </w:pPr>
      <w:r w:rsidRPr="00F300EC">
        <w:rPr>
          <w:rFonts w:ascii="Arial" w:hAnsi="Arial" w:cs="Arial"/>
        </w:rPr>
        <w:tab/>
        <w:t xml:space="preserve">Uvidom u odluku Pž-3780/2021 je utvrđeno da je ista donesena tek dana 9. rujna 2021., dakle iza odluke u predmetu Pž-3823/21, dok je u pogledu predmeta </w:t>
      </w:r>
      <w:r>
        <w:rPr>
          <w:rFonts w:ascii="Arial" w:hAnsi="Arial" w:cs="Arial"/>
        </w:rPr>
        <w:br/>
      </w:r>
      <w:r w:rsidRPr="00F300EC">
        <w:rPr>
          <w:rFonts w:ascii="Arial" w:hAnsi="Arial" w:cs="Arial"/>
        </w:rPr>
        <w:t xml:space="preserve">Pž-4023/2021 dostupan samo podatak da je zaprimljen na ovaj sud dana 16. </w:t>
      </w:r>
      <w:r w:rsidRPr="00F300EC">
        <w:rPr>
          <w:rFonts w:ascii="Arial" w:hAnsi="Arial" w:cs="Arial"/>
        </w:rPr>
        <w:lastRenderedPageBreak/>
        <w:t xml:space="preserve">kolovoza 2021., stoga odluka nije mogla biti donesena prije odluke u predmetu </w:t>
      </w:r>
      <w:r>
        <w:rPr>
          <w:rFonts w:ascii="Arial" w:hAnsi="Arial" w:cs="Arial"/>
        </w:rPr>
        <w:br/>
      </w:r>
      <w:r w:rsidRPr="00F300EC">
        <w:rPr>
          <w:rFonts w:ascii="Arial" w:hAnsi="Arial" w:cs="Arial"/>
        </w:rPr>
        <w:t>Pž-3823/21.</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Uvažavajući prisilne propise, ovo vijeće je na sjednici vijeća održanoj 21. rujna 2021. ponovno razmotrilo žalbu i navode pisanog mišljenja suca evidentičara te je donesena odluka da će se postaviti prethodno pitanje u kojem će se istaknuti upravo navedena činjenica da je odluka u ovoj pravnoj stvari zadržana i nije otpremljena sve dok nisu otpremljene kasnije odluke sa drugačijim pravnim stavom. Kako je ova odluka bila najstarija, po postojećim pravilima nisu smjele prvo izaći kasnije odluke s drugačijim pravnim stavom. Upravo se u ovom slučaju vidi utjecaj suca evidentičara na rad sudaca. Naime, iako je evidencija sudske prakse uočila da postoji različiti stav, odlučili su raniju odluku zadržati a kasnije pustiti i otpremiti. Pri tome nisu sazvali sjednicu odjela, već su evidentirali kasnije odluke</w:t>
      </w:r>
      <w:r w:rsidR="00D425C0">
        <w:rPr>
          <w:rFonts w:ascii="Arial" w:hAnsi="Arial" w:cs="Arial"/>
        </w:rPr>
        <w:t>.</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Na temelju čl. 40. st. 1. Zakona o sudovima („Narodne novine“ broj: 28/13, 33/15, 82/15, 82/16, 67/18 i 126/19</w:t>
      </w:r>
      <w:r>
        <w:rPr>
          <w:rFonts w:ascii="Arial" w:hAnsi="Arial" w:cs="Arial"/>
        </w:rPr>
        <w:t>)</w:t>
      </w:r>
      <w:r w:rsidRPr="00F300EC">
        <w:rPr>
          <w:rFonts w:ascii="Arial" w:hAnsi="Arial" w:cs="Arial"/>
        </w:rPr>
        <w:t xml:space="preserve"> je propisano:</w:t>
      </w:r>
    </w:p>
    <w:p w:rsidRPr="00F300EC" w:rsidR="00F300EC" w:rsidP="00F300EC" w:rsidRDefault="00F300EC">
      <w:pPr>
        <w:pStyle w:val="Bezproreda"/>
        <w:ind w:firstLine="709"/>
        <w:jc w:val="both"/>
        <w:rPr>
          <w:rFonts w:ascii="Arial" w:hAnsi="Arial" w:cs="Arial"/>
        </w:rPr>
      </w:pPr>
      <w:r w:rsidRPr="00F300EC">
        <w:rPr>
          <w:rFonts w:ascii="Arial" w:hAnsi="Arial" w:cs="Arial"/>
        </w:rPr>
        <w:t>„(1) Sjednica odjela ili sudaca saziva se i kad se utvrdi da o pitanjima primjene zakona postoje razlike u shvaćanjima između pojedinih odjela, vijeća ili sudaca ili kad u jednom odjelu vijeće ili sudac odstupi od ranije prihvaćenog pravnog shvaćanja.“</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Sukladno čl. 40. Zakona o sudovima, je dakle trebalo sazvati sjednicu odjela u trenutku kada se prvi put pojavila razlika u pravnim shvaćanjima, no evidentirane su odluke s drugačijim pravnim stavom bez postupanja sukladno propisanom postupku. Time je na neki način „evidencija“ zamijenila pravno shvaćanje bez da su se o istom pravnom pitanju izjasnili svi suci.</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Stoga je na sjednici ovog vijeća održanoj 21. rujna 2021. vijeće razmatralo sve okolnosti ovog slučaja vezane uz primjenu odredaba čl. 117. st. 3. Sudskog poslovnika i čl. 40. st. 2. Zakona o sudovima te članak 19. Ugovora o Europskoj Uniji (dalje: UEU) koji predviđa slijedeće:</w:t>
      </w:r>
    </w:p>
    <w:p w:rsidRPr="00F300EC" w:rsidR="00F300EC" w:rsidP="00F300EC" w:rsidRDefault="00F300EC">
      <w:pPr>
        <w:pStyle w:val="Bezproreda"/>
        <w:ind w:firstLine="709"/>
        <w:jc w:val="both"/>
        <w:rPr>
          <w:rFonts w:ascii="Arial" w:hAnsi="Arial" w:cs="Arial"/>
        </w:rPr>
      </w:pPr>
      <w:r w:rsidRPr="00F300EC">
        <w:rPr>
          <w:rFonts w:ascii="Arial" w:hAnsi="Arial" w:cs="Arial"/>
        </w:rPr>
        <w:t>„Sud Europske unije obuhvaća Sud, Opći sud i specijalizirane sudove. On osigurava poštovanje prava pri tumačenju i primjeni Ugovora.</w:t>
      </w:r>
    </w:p>
    <w:p w:rsidRPr="00F300EC" w:rsidR="00F300EC" w:rsidP="00F300EC" w:rsidRDefault="00F300EC">
      <w:pPr>
        <w:pStyle w:val="Bezproreda"/>
        <w:ind w:firstLine="709"/>
        <w:jc w:val="both"/>
        <w:rPr>
          <w:rFonts w:ascii="Arial" w:hAnsi="Arial" w:cs="Arial"/>
        </w:rPr>
      </w:pPr>
      <w:r w:rsidRPr="00F300EC">
        <w:rPr>
          <w:rFonts w:ascii="Arial" w:hAnsi="Arial" w:cs="Arial"/>
        </w:rPr>
        <w:t>Države članice osiguravaju pravne lijekove dostatne za osiguranje učinkovite pravne zaštite u područjima obuhvaćenima pravom Unije.“</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i čl. 47. Europske povelje o ljudskim pravima (dalje: Povelja), a koji predviđa sljedeće:</w:t>
      </w:r>
    </w:p>
    <w:p w:rsidRPr="00F300EC" w:rsidR="00F300EC" w:rsidP="00F300EC" w:rsidRDefault="00F300EC">
      <w:pPr>
        <w:pStyle w:val="Bezproreda"/>
        <w:ind w:firstLine="709"/>
        <w:jc w:val="both"/>
        <w:rPr>
          <w:rFonts w:ascii="Arial" w:hAnsi="Arial" w:cs="Arial"/>
        </w:rPr>
      </w:pPr>
      <w:r w:rsidRPr="00F300EC">
        <w:rPr>
          <w:rFonts w:ascii="Arial" w:hAnsi="Arial" w:cs="Arial"/>
        </w:rPr>
        <w:t>„Svatko čija su prava i slobode zajamčeni pravom Unije povrijeđeni ima pravo na djelotvoran pravni lijek pred sudom, u skladu s uvjetima utvrđenima ovim člankom.</w:t>
      </w:r>
    </w:p>
    <w:p w:rsidRPr="00F300EC" w:rsidR="00F300EC" w:rsidP="00F300EC" w:rsidRDefault="00F300EC">
      <w:pPr>
        <w:pStyle w:val="Bezproreda"/>
        <w:jc w:val="both"/>
        <w:rPr>
          <w:rFonts w:ascii="Arial" w:hAnsi="Arial" w:cs="Arial"/>
        </w:rPr>
      </w:pPr>
      <w:r w:rsidRPr="00F300EC">
        <w:rPr>
          <w:rFonts w:ascii="Arial" w:hAnsi="Arial" w:cs="Arial"/>
        </w:rPr>
        <w:t>Svatko ima pravo da zakonom prethodno ustanovljeni neovisni i nepristrani sud pravično, javno i u razumnom roku ispita njegov slučaj. […]“</w:t>
      </w:r>
    </w:p>
    <w:p w:rsidRPr="00F300EC" w:rsidR="00F300EC" w:rsidP="00F300EC" w:rsidRDefault="00F300EC">
      <w:pPr>
        <w:pStyle w:val="Bezproreda"/>
        <w:jc w:val="both"/>
        <w:rPr>
          <w:rFonts w:ascii="Arial" w:hAnsi="Arial" w:cs="Arial"/>
        </w:rPr>
      </w:pPr>
    </w:p>
    <w:p w:rsidRPr="00F300EC" w:rsidR="00F300EC" w:rsidP="00D425C0" w:rsidRDefault="00F300EC">
      <w:pPr>
        <w:pStyle w:val="Bezproreda"/>
        <w:ind w:firstLine="709"/>
        <w:jc w:val="both"/>
        <w:rPr>
          <w:rFonts w:ascii="Arial" w:hAnsi="Arial" w:cs="Arial"/>
        </w:rPr>
      </w:pPr>
      <w:r w:rsidRPr="00F300EC">
        <w:rPr>
          <w:rFonts w:ascii="Arial" w:hAnsi="Arial" w:cs="Arial"/>
        </w:rPr>
        <w:t xml:space="preserve">te je zaključeno kako je moguće da je odredba koja uvodi u donošenje sudske odluke i suca evidentičara za kojeg stranke ne znaju, koji nije predviđen u procesnim propisima na temelju kojih se provodi postupak u kojem se donosi odluka o pravnom lijeku i koji, iako nije viši sud u konkretnom slučaju može utjecati na određenog suca da mijenja donesenu sudsku odluku, takva da bitno utječe na vladavinu prava i neovisnost sudaca, a naročito jer se ista primjenjuje u svim predmetima pred svim </w:t>
      </w:r>
      <w:r w:rsidRPr="00F300EC">
        <w:rPr>
          <w:rFonts w:ascii="Arial" w:hAnsi="Arial" w:cs="Arial"/>
        </w:rPr>
        <w:lastRenderedPageBreak/>
        <w:t>drugostupanjskim sudovima u Republici Hrvatskoj, neovisno o tome da li se u konkretnom slučaju primjenjuje Europsko pravo ili ne.</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Činjenica da sudac evidencije, a za kojeg stranke ne znaju, bitno utječe na donošenje odluka se upravo očituje u ovom predmetu gdje je najstarija odluka na sudu imala jedan pravni stav, ali prvo su evidentirane kasnije odluke sa drugačijim pravnim stavom, bez da je sazvana sjednica odjela. Dakle, evidencija sudske prakse, a ne sud višeg stupnja je bitno utjecala na sudsku praksu kada je dozvolila da drugačije odluke budu otpremljene bez da je sazvana sjednica odjela svih sudaca.</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Smatrajući da je ovo pitanje važno za neovisnosti pravosuđa, a nakon proučavanja prakse Europskog suda (odluka C-896/19), odlučeno je postaviti prethodna pitanja kako bi se mogla donijeti konačna odluka u ovoj pravnoj stvari, jer je i doneseno rješenje o prekidu postupka na temelju čl. 213. st. 1. t. 2. Zakona o parničnom postupku („Narodne novine“ broj: 53/91, 91/92, 112/99, 88/01, 117/03, 88/05, 2/07, 84/08, 96/08, 123/08, 57/11, 148/11, 25/13, 28/13, 89/14 i 70/19; dalje: ZPP), do donošenja odluke Europskog suda.</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Dodatno se napominje da je slično pitanje već postavljeno u predmetu Europskog suda C-361/21, no u ovoj pravnoj stvari su činjenice nešto drugačije, stoga je ovo vijeće odlučilo postaviti slično prethodno pitanje, a kako je vremensko razdoblje kratko, moguće je da Europski sud donese jedinstvenu odluku. Naime, postojanje ovakvog oblika evidencije sudske prakse se do sada pravdalo potrebom ujednačavanja sudske prakse, koje načelo je iznimno vrijedno, ali način na koji to evidencija provodi nakon što je donesena sudska odluka je po shvaćanju ovog vijeća u suprotnosti s temeljnim pravom neovisnosti pravosuđa. Kao što je u ovom slučaju razvidno, evidencija sudske prakse odabire koje će odluke biti otpremljene sa suda i kada će izaći odluke drugačije od postojeće sudske prakse a kada neće. Pri tome je možda najvažnija činjenica da stranke ne znaju za ovaj dio postupka, niti je ime suca evidencije transparentno navedeno u odluci koju stranke zaprime.</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Dakle, odluka Suda je u ovom pitanju potrebna da bi Visoki trgovački sud Republike Hrvatske mogao donijeti odluku u ovoj pravnoj stvari, a ovo pitanje je u općem interesu za ujednačene primjene prava Unije, vladavine prava, neovisnosti sudaca države članice te djelotvorne pravne zaštite.</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Iako nema zakonske osnove, Sudski poslovnik predviđa u spornom dijelu čl. 177. st. 3. da se rad suca na predmetu u drugom stupnju smatra dovršenim tek kada je predmet vraćen iz evidencije odnosno „evidentiran“. Dakle, sudska odluka nije dovršena iako ju je zajednički donijelo sudsko vijeće već je potrebno da istu odluku potvrdi sudac evidentičar, a kojeg određuje Predsjednik suda kao tijelo sudske uprave u okviru godišnjeg rasporeda poslova. Ime suca evidentičara nije poznato strankama. Ovo postoji kao uvjet donošenja sudske odluke niti u jednom zakonu, ali živi u praksi sudova drugog stupnja u Republici Hrvatskoj na temelju Sudskog poslovnika.</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 xml:space="preserve">Proučavajući praksu i rad drugih sudova unutar Europske Unije nije zamijećeno postojanje sličnih zakona ili praksa koja zahtjeva da donesena sudska </w:t>
      </w:r>
      <w:r w:rsidRPr="00F300EC">
        <w:rPr>
          <w:rFonts w:ascii="Arial" w:hAnsi="Arial" w:cs="Arial"/>
        </w:rPr>
        <w:lastRenderedPageBreak/>
        <w:t>odluka bude odobrena od suca koji nije član sudskog vijeća i bez čijeg supotpisa na odluci (presudi ili rješenju) ne može ista odluka biti otpremljena strankama u postupku (putem suda prvog stupnja).</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Stoga se postavlja pitanje:</w:t>
      </w:r>
    </w:p>
    <w:p w:rsidRPr="00F300EC" w:rsidR="00F300EC" w:rsidP="00F300EC" w:rsidRDefault="00F300EC">
      <w:pPr>
        <w:pStyle w:val="Bezproreda"/>
        <w:ind w:firstLine="709"/>
        <w:jc w:val="both"/>
        <w:rPr>
          <w:rFonts w:ascii="Arial" w:hAnsi="Arial" w:cs="Arial"/>
        </w:rPr>
      </w:pPr>
      <w:r w:rsidRPr="00F300EC">
        <w:rPr>
          <w:rFonts w:ascii="Arial" w:hAnsi="Arial" w:cs="Arial"/>
        </w:rPr>
        <w:t>Može li se smatrati da je pravilo iz drugog dijela prve rečenice i druge rečenice čl. 177. st. 3. Sudskog poslovnika, „Kod drugostupanjskog suda predmet se smatra dovršenim u trenutku otpravka odluke iz referade suca nakon što je predmet vraćen iz službe evidencije. Služba evidencije dužna je u što kraćem roku od dana prijama spisa isti vratiti u referadu suca. Sudska pisarnica će u daljnjem roku od 8 dana otpremiti odluku sa suda.“ u skladu s čl. 19. st. 1. UEU-a i čl. 47. Povelje?</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ind w:firstLine="709"/>
        <w:jc w:val="both"/>
        <w:rPr>
          <w:rFonts w:ascii="Arial" w:hAnsi="Arial" w:cs="Arial"/>
        </w:rPr>
      </w:pPr>
      <w:r w:rsidRPr="00F300EC">
        <w:rPr>
          <w:rFonts w:ascii="Arial" w:hAnsi="Arial" w:cs="Arial"/>
        </w:rPr>
        <w:t>Uz ovaj Zahtjev se dostavljaju preslike rješenja Trgovačkog suda u Zagrebu poslovni broj St-5263/2016-36 od 12. srpnja 2021., žalba Financijske agencije, Zapisnik sa sjednice vijeća od 3. kolovoza 2021., rješenje Visokog trgovačkog suda Republike Hrvatske poslovni broj Pž-3823/21 od 3. kolovoza 2021., ispis iz e-spisa u kojem je vidljivo razdoblje od kada do kada je spis bio u evidenciji., dopis suca evidencije od 15. rujna 2021., rješenje Visokog trgovačkog suda Republike Hrvatske poslovni broj Pž-3780/2021,</w:t>
      </w:r>
      <w:r w:rsidR="00D425C0">
        <w:rPr>
          <w:rFonts w:ascii="Arial" w:hAnsi="Arial" w:cs="Arial"/>
        </w:rPr>
        <w:t xml:space="preserve"> </w:t>
      </w:r>
      <w:r w:rsidRPr="00F300EC">
        <w:rPr>
          <w:rFonts w:ascii="Arial" w:hAnsi="Arial" w:cs="Arial"/>
        </w:rPr>
        <w:t>Zapisnik sa sjednice vijeća od 21. rujna 2021. te Rješenje o prekidu postupka od 21. rujna 2021.</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jc w:val="center"/>
        <w:rPr>
          <w:rFonts w:ascii="Arial" w:hAnsi="Arial" w:cs="Arial"/>
        </w:rPr>
      </w:pPr>
      <w:r w:rsidRPr="00F300EC">
        <w:rPr>
          <w:rFonts w:ascii="Arial" w:hAnsi="Arial" w:cs="Arial"/>
        </w:rPr>
        <w:t>Zagreb, 21. rujna 2021.</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jc w:val="both"/>
        <w:rPr>
          <w:rFonts w:ascii="Arial" w:hAnsi="Arial" w:cs="Arial"/>
        </w:rPr>
      </w:pPr>
      <w:r w:rsidRPr="00F300EC">
        <w:rPr>
          <w:rFonts w:ascii="Arial" w:hAnsi="Arial" w:cs="Arial"/>
        </w:rPr>
        <w:t>Sutkinja izvjestiteljica</w:t>
      </w:r>
      <w:r w:rsidRPr="00F300EC">
        <w:rPr>
          <w:rFonts w:ascii="Arial" w:hAnsi="Arial" w:cs="Arial"/>
        </w:rPr>
        <w:tab/>
      </w:r>
      <w:r w:rsidRPr="00F300EC">
        <w:rPr>
          <w:rFonts w:ascii="Arial" w:hAnsi="Arial" w:cs="Arial"/>
        </w:rPr>
        <w:tab/>
      </w:r>
      <w:r w:rsidRPr="00F300EC">
        <w:rPr>
          <w:rFonts w:ascii="Arial" w:hAnsi="Arial" w:cs="Arial"/>
        </w:rPr>
        <w:tab/>
      </w:r>
      <w:r w:rsidRPr="00F300EC">
        <w:rPr>
          <w:rFonts w:ascii="Arial" w:hAnsi="Arial" w:cs="Arial"/>
        </w:rPr>
        <w:tab/>
      </w:r>
      <w:r w:rsidRPr="00F300EC">
        <w:rPr>
          <w:rFonts w:ascii="Arial" w:hAnsi="Arial" w:cs="Arial"/>
        </w:rPr>
        <w:tab/>
        <w:t>Predsjednica vijeća</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jc w:val="both"/>
        <w:rPr>
          <w:rFonts w:ascii="Arial" w:hAnsi="Arial" w:cs="Arial"/>
        </w:rPr>
      </w:pPr>
      <w:r w:rsidRPr="00F300EC">
        <w:rPr>
          <w:rFonts w:ascii="Arial" w:hAnsi="Arial" w:cs="Arial"/>
        </w:rPr>
        <w:t>doc. dr. sc. Jelena Čuveljak</w:t>
      </w:r>
      <w:r w:rsidRPr="00F300EC">
        <w:rPr>
          <w:rFonts w:ascii="Arial" w:hAnsi="Arial" w:cs="Arial"/>
        </w:rPr>
        <w:tab/>
      </w:r>
      <w:r w:rsidRPr="00F300EC">
        <w:rPr>
          <w:rFonts w:ascii="Arial" w:hAnsi="Arial" w:cs="Arial"/>
        </w:rPr>
        <w:tab/>
      </w:r>
      <w:r w:rsidRPr="00F300EC">
        <w:rPr>
          <w:rFonts w:ascii="Arial" w:hAnsi="Arial" w:cs="Arial"/>
        </w:rPr>
        <w:tab/>
      </w:r>
      <w:r w:rsidRPr="00F300EC">
        <w:rPr>
          <w:rFonts w:ascii="Arial" w:hAnsi="Arial" w:cs="Arial"/>
        </w:rPr>
        <w:tab/>
        <w:t>Branka Šabarić Zovko</w:t>
      </w:r>
    </w:p>
    <w:p w:rsidRPr="00F300EC" w:rsidR="00F300EC" w:rsidP="00F300EC" w:rsidRDefault="00F300EC">
      <w:pPr>
        <w:pStyle w:val="Bezproreda"/>
        <w:jc w:val="both"/>
        <w:rPr>
          <w:rFonts w:ascii="Arial" w:hAnsi="Arial" w:cs="Arial"/>
        </w:rPr>
      </w:pPr>
    </w:p>
    <w:p w:rsidRPr="00F300EC" w:rsidR="00F300EC" w:rsidP="00F300EC" w:rsidRDefault="00F300EC">
      <w:pPr>
        <w:pStyle w:val="Bezproreda"/>
        <w:jc w:val="both"/>
        <w:rPr>
          <w:rFonts w:ascii="Arial" w:hAnsi="Arial" w:cs="Arial"/>
        </w:rPr>
      </w:pPr>
    </w:p>
    <w:p w:rsidRPr="00F300EC" w:rsidR="00F300EC" w:rsidP="00F300EC" w:rsidRDefault="00F300EC">
      <w:pPr>
        <w:pStyle w:val="Bezproreda"/>
        <w:jc w:val="both"/>
        <w:rPr>
          <w:rFonts w:ascii="Arial" w:hAnsi="Arial" w:cs="Arial"/>
        </w:rPr>
      </w:pPr>
      <w:r w:rsidRPr="00F300EC">
        <w:rPr>
          <w:rFonts w:ascii="Arial" w:hAnsi="Arial" w:cs="Arial"/>
        </w:rPr>
        <w:t>Obavijest o Zahtjevu:</w:t>
      </w:r>
    </w:p>
    <w:p w:rsidRPr="00F300EC" w:rsidR="00F300EC" w:rsidP="00F300EC" w:rsidRDefault="00F300EC">
      <w:pPr>
        <w:pStyle w:val="Bezproreda"/>
        <w:jc w:val="both"/>
        <w:rPr>
          <w:rFonts w:ascii="Arial" w:hAnsi="Arial" w:cs="Arial"/>
        </w:rPr>
      </w:pPr>
      <w:r w:rsidRPr="00F300EC">
        <w:rPr>
          <w:rFonts w:ascii="Arial" w:hAnsi="Arial" w:cs="Arial"/>
        </w:rPr>
        <w:t>1. Ministarstvo nadležno za vanjske poslove</w:t>
      </w:r>
    </w:p>
    <w:p w:rsidRPr="00F300EC" w:rsidR="00F300EC" w:rsidP="00F300EC" w:rsidRDefault="00F300EC">
      <w:pPr>
        <w:pStyle w:val="Bezproreda"/>
        <w:jc w:val="both"/>
        <w:rPr>
          <w:rFonts w:ascii="Arial" w:hAnsi="Arial" w:cs="Arial"/>
        </w:rPr>
      </w:pPr>
      <w:r w:rsidRPr="00F300EC">
        <w:rPr>
          <w:rFonts w:ascii="Arial" w:hAnsi="Arial" w:cs="Arial"/>
        </w:rPr>
        <w:t>2. Županijsko državno odvjetništvo, Građansko upravni odjel u Zagrebu</w:t>
      </w:r>
    </w:p>
    <w:sectPr w:rsidRPr="00F300EC" w:rsidR="00F300EC"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84C16" w:rsidP="00537B78" w:rsidRDefault="00684C16">
      <w:r>
        <w:separator/>
      </w:r>
    </w:p>
  </w:endnote>
  <w:endnote w:type="continuationSeparator" w:id="0">
    <w:p w:rsidR="00684C16" w:rsidP="00537B78" w:rsidRDefault="00684C1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84C16" w:rsidP="00537B78" w:rsidRDefault="00684C16">
      <w:r>
        <w:separator/>
      </w:r>
    </w:p>
  </w:footnote>
  <w:footnote w:type="continuationSeparator" w:id="0">
    <w:p w:rsidR="00684C16" w:rsidP="00537B78" w:rsidRDefault="00684C1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521761" w:rsidR="00F300EC">
              <w:rPr>
                <w:rStyle w:val="eSPISCCParagraphDefaultFont"/>
              </w:rPr>
              <w:t>37</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521761" w:rsidR="00F300EC">
              <w:rPr>
                <w:rStyle w:val="eSPISCCParagraphDefaultFont"/>
              </w:rPr>
              <w:t>Pž-3823/2021-3</w:t>
            </w:r>
          </w:sdtContent>
        </w:sdt>
      </w:p>
      <w:p w:rsidR="00170492" w:rsidP="00170492" w:rsidRDefault="00170492">
        <w:pPr>
          <w:pStyle w:val="Zaglavlje"/>
          <w:spacing w:after="0"/>
          <w:jc w:val="center"/>
        </w:pPr>
        <w:r>
          <w:fldChar w:fldCharType="begin"/>
        </w:r>
        <w:r>
          <w:instrText>PAGE   \* MERGEFORMAT</w:instrText>
        </w:r>
        <w:r>
          <w:fldChar w:fldCharType="separate"/>
        </w:r>
        <w:r w:rsidR="00521761">
          <w:t>5</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761"/>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4C16"/>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C0"/>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5573"/>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00EC"/>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DF5573"/>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DF5573"/>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DF5573"/>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F5573"/>
    <w:pPr>
      <w:spacing w:after="240" w:line="240" w:lineRule="auto"/>
    </w:pPr>
    <w:rPr>
      <w:rFonts w:ascii="Arial" w:hAnsi="Arial"/>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eastAsia="Times New Roman"/>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DF5573"/>
    <w:rPr>
      <w:rFonts w:ascii="Arial" w:cs="Times New Roman" w:eastAsia="Times New Roman" w:hAnsi="Arial"/>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DF5573"/>
    <w:pPr>
      <w:tabs>
        <w:tab w:pos="7088" w:val="left"/>
      </w:tabs>
      <w:spacing w:after="0"/>
    </w:pPr>
    <w:rPr>
      <w:rFonts w:ascii="Arial" w:hAnsi="Arial"/>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1316DF"/>
    <w:rsid w:val="00201BA8"/>
    <w:rsid w:val="002C2596"/>
    <w:rsid w:val="003820FE"/>
    <w:rsid w:val="004456A8"/>
    <w:rsid w:val="00483442"/>
    <w:rsid w:val="005858C7"/>
    <w:rsid w:val="00614E4F"/>
    <w:rsid w:val="007B3F2E"/>
    <w:rsid w:val="00855D0C"/>
    <w:rsid w:val="0085783F"/>
    <w:rsid w:val="008B1279"/>
    <w:rsid w:val="008E597B"/>
    <w:rsid w:val="00C4409E"/>
    <w:rsid w:val="00D71342"/>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21. rujna 2021.</izvorni_sadrzaj>
    <derivirana_varijabla naziv="DomainObject.DatumDonosenjaOdluke_1">21. rujna 2021.</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Pž-3823/2021-3</izvorni_sadrzaj>
    <derivirana_varijabla naziv="DomainObject.Oznaka_1">Pž-3823/2021-3</derivirana_varijabla>
  </DomainObject.Oznaka>
  <DomainObject.DonositeljOdluke.Ime>
    <izvorni_sadrzaj>Jelena</izvorni_sadrzaj>
    <derivirana_varijabla naziv="DomainObject.DonositeljOdluke.Ime_1">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3823</izvorni_sadrzaj>
    <derivirana_varijabla naziv="DomainObject.Predmet.Broj_1">3823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2021.</izvorni_sadrzaj>
    <derivirana_varijabla naziv="DomainObject.Predmet.DatumOsnivanja_1">29. srpnja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listopada 2021.</izvorni_sadrzaj>
    <derivirana_varijabla naziv="DomainObject.Predmet.DatumRjesavanja_1">3. listopada 2021.</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Pž-3823/2021</izvorni_sadrzaj>
    <derivirana_varijabla naziv="DomainObject.Predmet.OznakaBroj_1">Pž-3823/2021</derivirana_varijabla>
  </DomainObject.Predmet.OznakaBroj>
  <DomainObject.Predmet.OznakaBrojOptuznogAkta>
    <izvorni_sadrzaj/>
    <derivirana_varijabla naziv="DomainObject.Predmet.OznakaBrojOptuznogAkta_1"/>
  </DomainObject.Predmet.OznakaBrojOptuznogAkta>
  <DomainObject.Predmet.PredmetRijesio.Ime>
    <izvorni_sadrzaj>Jelena</izvorni_sadrzaj>
    <derivirana_varijabla naziv="DomainObject.Predmet.PredmetRijesio.Ime_1">Jelena</derivirana_varijabla>
  </DomainObject.Predmet.PredmetRijesio.Ime>
  <DomainObject.Predmet.PredmetRijesio.Oib>
    <izvorni_sadrzaj>59689163476</izvorni_sadrzaj>
    <derivirana_varijabla naziv="DomainObject.Predmet.PredmetRijesio.Oib_1">59689163476</derivirana_varijabla>
  </DomainObject.Predmet.PredmetRijesio.Oib>
  <DomainObject.Predmet.PredmetRijesio.Prezime>
    <izvorni_sadrzaj>Čuveljak</izvorni_sadrzaj>
    <derivirana_varijabla naziv="DomainObject.Predmet.PredmetRijesio.Prezime_1">Čuveljak</derivirana_varijabla>
  </DomainObject.Predmet.PredmetRijesio.Prezime>
  <DomainObject.Predmet.PrimjedbaSuca>
    <izvorni_sadrzaj>trošak</izvorni_sadrzaj>
    <derivirana_varijabla naziv="DomainObject.Predmet.PrimjedbaSuca_1">trošak</derivirana_varijabla>
  </DomainObject.Predmet.PrimjedbaSuca>
  <DomainObject.Predmet.PrimjedbaUpisnicara>
    <izvorni_sadrzaj/>
    <derivirana_varijabla naziv="DomainObject.Predmet.PrimjedbaUpisnicara_1"/>
  </DomainObject.Predmet.PrimjedbaUpisnicara>
  <DomainObject.Predmet.ProtustrankaFormated>
    <izvorni_sadrzaj>  MINERAL-SEKULINE d.o.o.</izvorni_sadrzaj>
    <derivirana_varijabla naziv="DomainObject.Predmet.ProtustrankaFormated_1">  MINERAL-SEKULINE d.o.o.</derivirana_varijabla>
  </DomainObject.Predmet.ProtustrankaFormated>
  <DomainObject.Predmet.ProtustrankaFormatedOIB>
    <izvorni_sadrzaj>  MINERAL-SEKULINE d.o.o., OIB 09378976276</izvorni_sadrzaj>
    <derivirana_varijabla naziv="DomainObject.Predmet.ProtustrankaFormatedOIB_1">  MINERAL-SEKULINE d.o.o., OIB 09378976276</derivirana_varijabla>
  </DomainObject.Predmet.ProtustrankaFormatedOIB>
  <DomainObject.Predmet.ProtustrankaFormatedWithAdress>
    <izvorni_sadrzaj> MINERAL-SEKULINE d.o.o., Ruščenica 37, 10000 Zagreb</izvorni_sadrzaj>
    <derivirana_varijabla naziv="DomainObject.Predmet.ProtustrankaFormatedWithAdress_1"> MINERAL-SEKULINE d.o.o., Ruščenica 37, 10000 Zagreb</derivirana_varijabla>
  </DomainObject.Predmet.ProtustrankaFormatedWithAdress>
  <DomainObject.Predmet.ProtustrankaFormatedWithAdressOIB>
    <izvorni_sadrzaj> MINERAL-SEKULINE d.o.o., OIB 09378976276, Ruščenica 37, 10000 Zagreb</izvorni_sadrzaj>
    <derivirana_varijabla naziv="DomainObject.Predmet.ProtustrankaFormatedWithAdressOIB_1"> MINERAL-SEKULINE d.o.o., OIB 09378976276, Ruščenica 37, 10000 Zagreb</derivirana_varijabla>
  </DomainObject.Predmet.ProtustrankaFormatedWithAdressOIB>
  <DomainObject.Predmet.ProtustrankaWithAdress>
    <izvorni_sadrzaj>MINERAL-SEKULINE d.o.o. Ruščenica 37, 10000 Zagreb</izvorni_sadrzaj>
    <derivirana_varijabla naziv="DomainObject.Predmet.ProtustrankaWithAdress_1">MINERAL-SEKULINE d.o.o. Ruščenica 37, 10000 Zagreb</derivirana_varijabla>
  </DomainObject.Predmet.ProtustrankaWithAdress>
  <DomainObject.Predmet.ProtustrankaWithAdressOIB>
    <izvorni_sadrzaj>MINERAL-SEKULINE d.o.o., OIB 09378976276, Ruščenica 37, 10000 Zagreb</izvorni_sadrzaj>
    <derivirana_varijabla naziv="DomainObject.Predmet.ProtustrankaWithAdressOIB_1">MINERAL-SEKULINE d.o.o., OIB 09378976276, Ruščenica 37, 10000 Zagreb</derivirana_varijabla>
  </DomainObject.Predmet.ProtustrankaWithAdressOIB>
  <DomainObject.Predmet.ProtustrankaNazivFormated>
    <izvorni_sadrzaj>MINERAL-SEKULINE d.o.o.</izvorni_sadrzaj>
    <derivirana_varijabla naziv="DomainObject.Predmet.ProtustrankaNazivFormated_1">MINERAL-SEKULINE d.o.o.</derivirana_varijabla>
    <derivirana_varijabla naziv="Padez">MINERAL-SEKULINE d.o.o.</derivirana_varijabla>
  </DomainObject.Predmet.ProtustrankaNazivFormated>
  <DomainObject.Predmet.ProtustrankaNazivFormatedOIB>
    <izvorni_sadrzaj>MINERAL-SEKULINE d.o.o., OIB 09378976276</izvorni_sadrzaj>
    <derivirana_varijabla naziv="DomainObject.Predmet.ProtustrankaNazivFormatedOIB_1">MINERAL-SEKULINE d.o.o., OIB 09378976276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37 - Čuveljak</izvorni_sadrzaj>
    <derivirana_varijabla naziv="DomainObject.Predmet.Referada.Naziv_1">Ref. 37 - Čuveljak</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Jelena Čuveljak</izvorni_sadrzaj>
    <derivirana_varijabla naziv="DomainObject.Predmet.Referada.Sudac_1">Jelena Čuveljak</derivirana_varijabla>
    <derivirana_varijabla naziv="Dativ">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erivirana_varijabla naziv="Padez">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Prijepisna pisarnica</izvorni_sadrzaj>
    <derivirana_varijabla naziv="DomainObject.Predmet.TrenutnaLokacijaSpisa.Naziv_1">Prijepisna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MINERAL-SEKULINE d.o.o.</item>
    </izvorni_sadrzaj>
    <derivirana_varijabla naziv="DomainObject.Predmet.ProtuStrankaListFormated_1">
      <item>MINERAL-SEKULINE d.o.o.</item>
    </derivirana_varijabla>
  </DomainObject.Predmet.ProtuStrankaListFormated>
  <DomainObject.Predmet.ProtuStrankaListFormatedOIB>
    <izvorni_sadrzaj>
      <item>MINERAL-SEKULINE d.o.o., OIB 09378976276</item>
    </izvorni_sadrzaj>
    <derivirana_varijabla naziv="DomainObject.Predmet.ProtuStrankaListFormatedOIB_1">
      <item>MINERAL-SEKULINE d.o.o., OIB 09378976276</item>
    </derivirana_varijabla>
  </DomainObject.Predmet.ProtuStrankaListFormatedOIB>
  <DomainObject.Predmet.ProtuStrankaListFormatedWithAdress>
    <izvorni_sadrzaj>
      <item>MINERAL-SEKULINE d.o.o., Ruščenica 37, 10000 Zagreb</item>
    </izvorni_sadrzaj>
    <derivirana_varijabla naziv="DomainObject.Predmet.ProtuStrankaListFormatedWithAdress_1">
      <item>MINERAL-SEKULINE d.o.o., Ruščenica 37, 10000 Zagreb</item>
    </derivirana_varijabla>
  </DomainObject.Predmet.ProtuStrankaListFormatedWithAdress>
  <DomainObject.Predmet.ProtuStrankaListFormatedWithAdressOIB>
    <izvorni_sadrzaj>
      <item>MINERAL-SEKULINE d.o.o., OIB 09378976276, Ruščenica 37, 10000 Zagreb</item>
    </izvorni_sadrzaj>
    <derivirana_varijabla naziv="DomainObject.Predmet.ProtuStrankaListFormatedWithAdressOIB_1">
      <item>MINERAL-SEKULINE d.o.o., OIB 09378976276, Ruščenica 37, 10000 Zagreb</item>
    </derivirana_varijabla>
  </DomainObject.Predmet.ProtuStrankaListFormatedWithAdressOIB>
  <DomainObject.Predmet.ProtuStrankaListNazivFormated>
    <izvorni_sadrzaj>
      <item>MINERAL-SEKULINE d.o.o.</item>
    </izvorni_sadrzaj>
    <derivirana_varijabla naziv="DomainObject.Predmet.ProtuStrankaListNazivFormated_1">
      <item>MINERAL-SEKULINE d.o.o.</item>
    </derivirana_varijabla>
  </DomainObject.Predmet.ProtuStrankaListNazivFormated>
  <DomainObject.Predmet.ProtuStrankaListNazivFormatedOIB>
    <izvorni_sadrzaj>
      <item>MINERAL-SEKULINE d.o.o., OIB 09378976276</item>
    </izvorni_sadrzaj>
    <derivirana_varijabla naziv="DomainObject.Predmet.ProtuStrankaListNazivFormatedOIB_1">
      <item>MINERAL-SEKULINE d.o.o., OIB 09378976276</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4. listopada 2021.</izvorni_sadrzaj>
    <derivirana_varijabla naziv="DomainObject.Datum_1">4. listopada 2021.</derivirana_varijabla>
  </DomainObject.Datum>
  <DomainObject.PoslovniBrojDokumenta>
    <izvorni_sadrzaj>Pž-3823/2021-3</izvorni_sadrzaj>
    <derivirana_varijabla naziv="DomainObject.PoslovniBrojDokumenta_1">Pž-3823/2021-3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MINERAL-SEKULINE d.o.o.</izvorni_sadrzaj>
    <derivirana_varijabla naziv="DomainObject.Predmet.ProtustrankaIDrugi_1">MINERAL-SEKULINE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MINERAL-SEKULINE d.o.o., OIB 09378976276, Ruščenica 37, 10000 Zagreb</izvorni_sadrzaj>
    <derivirana_varijabla naziv="DomainObject.Predmet.ProtustrankaIDrugiAdressOIB_1">MINERAL-SEKULINE d.o.o., OIB 09378976276, Ruščenica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rujna 2021.</izvorni_sadrzaj>
    <derivirana_varijabla naziv="DomainObject.Predmet.OdlukaRjesenje.DatumDonosenjaOdluke_1">21. rujna 2021.</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Pž-3823/2021-3</izvorni_sadrzaj>
    <derivirana_varijabla naziv="DomainObject.Predmet.OdlukaRjesenje.Oznaka_1">Pž-3823/2021-3</derivirana_varijabla>
  </DomainObject.Predmet.OdlukaRjesenje.Oznaka>
  <DomainObject.Predmet.SudioniciListNaziv>
    <izvorni_sadrzaj>
      <item>MINERAL-SEKULINE d.o.o.</item>
      <item>FINA Regionalni centar Zagreb</item>
    </izvorni_sadrzaj>
    <derivirana_varijabla naziv="DomainObject.Predmet.SudioniciListNaziv_1">
      <item>MINERAL-SEKULINE d.o.o.</item>
      <item>FINA Regionalni centar Zagreb</item>
    </derivirana_varijabla>
    <derivirana_varijabla naziv="OstaliSudionici">
      <item>MINERAL-SEKULINE d.o.o.</item>
      <item>FINA Regionalni centar Zagreb</item>
    </derivirana_varijabla>
  </DomainObject.Predmet.SudioniciListNaziv>
  <DomainObject.Predmet.SudioniciListAdressOIB>
    <izvorni_sadrzaj>
      <item>MINERAL-SEKULINE d.o.o., OIB 09378976276, Ruščenica 37,10000 Zagreb</item>
      <item>FINA Regionalni centar Zagreb, OIB 85821130368, Ilica 307,10000 Zagreb</item>
    </izvorni_sadrzaj>
    <derivirana_varijabla naziv="DomainObject.Predmet.SudioniciListAdressOIB_1">
      <item>MINERAL-SEKULINE d.o.o., OIB 09378976276, Ruščenica 37,10000 Zagreb</item>
      <item>FINA Regionalni centar Zagreb, OIB 85821130368, Ilica 307,10000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09378976276</item>
      <item>, OIB 85821130368</item>
    </izvorni_sadrzaj>
    <derivirana_varijabla naziv="DomainObject.Predmet.SudioniciListNazivOIB_1">
      <item>, OIB 09378976276</item>
      <item>, OIB 85821130368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St-5263/2016</izvorni_sadrzaj>
    <derivirana_varijabla naziv="DomainObject.Predmet.OznakaNizestupanjskogPredmeta_1">St-5263/2016</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rujna 2021.</izvorni_sadrzaj>
    <derivirana_varijabla naziv="DomainObject.PredzadnjaOdlukaIzPredmeta.DatumDonosenjaOdluke_1">21. rujna 2021.</derivirana_varijabla>
  </DomainObject.PredzadnjaOdlukaIzPredmeta.DatumDonosenjaOdluke>
  <DomainObject.PredzadnjaOdlukaIzPredmeta.Oznaka>
    <izvorni_sadrzaj>Pž-3823/2021-3</izvorni_sadrzaj>
    <derivirana_varijabla naziv="DomainObject.PredzadnjaOdlukaIzPredmeta.Oznaka_1">Pž-3823/2021-3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srpnja 2016.</izvorni_sadrzaj>
    <derivirana_varijabla naziv="DomainObject.Predmet.DatumPocetkaProcesa_1">11. srpnja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70349D-744F-49B8-BAEC-9F172BE3BAA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5</properties:Pages>
  <properties:Words>1993</properties:Words>
  <properties:Characters>11110</properties:Characters>
  <properties:Lines>226</properties:Lines>
  <properties:Paragraphs>50</properties:Paragraphs>
  <properties:TotalTime>191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13073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Ankica Žegarac</cp:lastModifiedBy>
  <cp:lastPrinted>2021-10-04T10:56:00Z</cp:lastPrinted>
  <dcterms:modified xmlns:xsi="http://www.w3.org/2001/XMLSchema-instance" xsi:type="dcterms:W3CDTF">2021-10-04T11:04:00Z</dcterms:modified>
  <cp:revision>25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5</vt:i4>
  </prop:property>
  <prop:property fmtid="{D5CDD505-2E9C-101B-9397-08002B2CF9AE}" pid="5" name="Naslov">
    <vt:lpwstr>Pž-3823/2021-3 / Odluka - Odluka - riješeno na drugi način (Pž-3823-21.docx)</vt:lpwstr>
  </prop:property>
  <prop:property fmtid="{D5CDD505-2E9C-101B-9397-08002B2CF9AE}" pid="6" name="Predlozak_id">
    <vt:lpwstr>1000000655</vt:lpwstr>
  </prop:property>
  <prop:property fmtid="{D5CDD505-2E9C-101B-9397-08002B2CF9AE}" pid="7" name="Predlozak_oznaka">
    <vt:lpwstr>VTSRH-memo2018 PŽ</vt:lpwstr>
  </prop:property>
  <prop:property fmtid="{D5CDD505-2E9C-101B-9397-08002B2CF9AE}" pid="8" name="Predlozak_naziv">
    <vt:lpwstr>VTSRH - memorandum 2018 s grbom, dopis, presuda, rješenje s poslovnim brojem </vt:lpwstr>
  </prop:property>
</prop:Properties>
</file>